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13.0" w:type="dxa"/>
        <w:tblLayout w:type="fixed"/>
        <w:tblLook w:val="0000"/>
      </w:tblPr>
      <w:tblGrid>
        <w:gridCol w:w="1890"/>
        <w:gridCol w:w="7574"/>
        <w:tblGridChange w:id="0">
          <w:tblGrid>
            <w:gridCol w:w="1890"/>
            <w:gridCol w:w="7574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61171" cy="794026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71" cy="7940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SECRETARIA MUNICIPAL DE EDUCAÇÃO, CIÊNCIA E TECNOLOGIA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CONSELHO MUNICIPAL DE ACOMPANHAMENTO E CONTROLE SOCIAL DO FUNDO DE MANUTENÇÃO E DESENVOLVIMENTO DA EDUCAÇÃO BÁSICA E DE VALORIZAÇÃO DOS PROFISSIONAIS DA EDUCAÇÃO DE IÇARA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062.0" w:type="dxa"/>
            <w:jc w:val="left"/>
            <w:tblInd w:w="-108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400"/>
          </w:tblPr>
          <w:tblGrid>
            <w:gridCol w:w="4531"/>
            <w:gridCol w:w="4531"/>
            <w:tblGridChange w:id="0">
              <w:tblGrid>
                <w:gridCol w:w="4531"/>
                <w:gridCol w:w="4531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D">
                <w:pPr>
                  <w:widowControl w:val="1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Ofício Nº 003/2024</w:t>
                </w:r>
              </w:p>
            </w:tc>
            <w:tc>
              <w:tcPr/>
              <w:p w:rsidR="00000000" w:rsidDel="00000000" w:rsidP="00000000" w:rsidRDefault="00000000" w:rsidRPr="00000000" w14:paraId="0000000E">
                <w:pPr>
                  <w:widowControl w:val="1"/>
                  <w:jc w:val="righ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Içara/SC, 09 de Outubro de 2024.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Sra.</w:t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Nerilda Vandir Felisberto</w:t>
      </w:r>
    </w:p>
    <w:p w:rsidR="00000000" w:rsidDel="00000000" w:rsidP="00000000" w:rsidRDefault="00000000" w:rsidRPr="00000000" w14:paraId="00000013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Secretária Municipal de Educação, Ciência e Tecnologia </w:t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Içara - SC</w:t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549.2125984251969"/>
        </w:tabs>
        <w:spacing w:after="240"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Resposta ao Ofício SMECT Nº 111/2024.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Prezada Secretária,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Cumprimentando-a cordialmente, em resposta ao ofício SMECT nº111/2024, vimos por meio deste informar que o Conselho Municipal de Acompanhamento e Controle Social do Fundo de Manutenção e Desenvolvimento da Educação Básica e de Valorização dos profissionais da Educação (FUNDEB) de Içara analisou e deferiu, em reunião realizada em 09 de outubro de 2024, a seguinte solicitação: Análise e a emissão de parecer deste conselho, referente à Proposta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 Orçamentárias Anual (LOA)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o ano 2025.</w:t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Sendo o que se apresenta para o momento, aproveito o ensejo para renovar protestos de consideração e apreço</w:t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tabs>
          <w:tab w:val="left" w:leader="none" w:pos="2115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tabs>
          <w:tab w:val="left" w:leader="none" w:pos="2115"/>
        </w:tabs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KELI CRISTINA CAMILO FLORIANO</w:t>
      </w:r>
    </w:p>
    <w:p w:rsidR="00000000" w:rsidDel="00000000" w:rsidP="00000000" w:rsidRDefault="00000000" w:rsidRPr="00000000" w14:paraId="00000025">
      <w:pPr>
        <w:widowControl w:val="1"/>
        <w:tabs>
          <w:tab w:val="left" w:leader="none" w:pos="2115"/>
        </w:tabs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 do CACS-FUNDEB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52.999999999999545" w:tblpY="0"/>
        <w:tblW w:w="9464.0" w:type="dxa"/>
        <w:jc w:val="left"/>
        <w:tblInd w:w="-113.0" w:type="dxa"/>
        <w:tblLayout w:type="fixed"/>
        <w:tblLook w:val="0000"/>
      </w:tblPr>
      <w:tblGrid>
        <w:gridCol w:w="1890"/>
        <w:gridCol w:w="7574"/>
        <w:tblGridChange w:id="0">
          <w:tblGrid>
            <w:gridCol w:w="1890"/>
            <w:gridCol w:w="7574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13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1061171" cy="794026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71" cy="7940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13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jc w:val="both"/>
              <w:rPr>
                <w:rFonts w:ascii="Arial" w:cs="Arial" w:eastAsia="Arial" w:hAnsi="Arial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2F">
            <w:pPr>
              <w:widowControl w:val="1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SECRETARIA MUNICIPAL DE EDUCAÇÃO, CIÊNCIA E TECNOLOGIA</w:t>
            </w:r>
          </w:p>
          <w:p w:rsidR="00000000" w:rsidDel="00000000" w:rsidP="00000000" w:rsidRDefault="00000000" w:rsidRPr="00000000" w14:paraId="00000030">
            <w:pPr>
              <w:widowControl w:val="1"/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CONSELHO MUNICIPAL DE ACOMPANHAMENTO E CONTROLE SOCIAL DO FUNDO DE MANUTENÇÃO E DESENVOLVIMENTO DA EDUCAÇÃO BÁSICA E DE VALORIZAÇÃO DOS PROFISSIONAIS DA EDUCAÇÃO DE IÇARA</w:t>
            </w:r>
          </w:p>
          <w:p w:rsidR="00000000" w:rsidDel="00000000" w:rsidP="00000000" w:rsidRDefault="00000000" w:rsidRPr="00000000" w14:paraId="00000032">
            <w:pPr>
              <w:widowControl w:val="1"/>
              <w:jc w:val="both"/>
              <w:rPr>
                <w:rFonts w:ascii="Arial" w:cs="Arial" w:eastAsia="Arial" w:hAnsi="Arial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PARECER Nº 0</w:t>
      </w:r>
      <w:r w:rsidDel="00000000" w:rsidR="00000000" w:rsidRPr="00000000">
        <w:rPr>
          <w:rFonts w:ascii="Arial" w:cs="Arial" w:eastAsia="Arial" w:hAnsi="Arial"/>
          <w:b w:val="1"/>
          <w:sz w:val="25"/>
          <w:szCs w:val="25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1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cumprimento de suas atribuições previstas na Lei nº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4.113, de 25 de dezembro de 2020, e no Capítulo VI do Acompanhamento, da Avaliação, do Monitoramento, do Controle Social, da Comprovação e da Fiscalização dos Recursos e no Artigo 3º da Lei Municipal 4.579, de 26 de março de 2021, no que se refere à aplicação dos recursos do FUNDEB, o Conselho Municipal de Acompanhamento e Controle Social do Fundo de Manutenção e Desenvolvimento da Educação Básica e de Valorização dos profissionais da Educação (FUNDEB), em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09 outubro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 2024, relata: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parecer tem como objetivo avaliar a proposta de Lei Orçamentárias Anual (LOA), con</w:t>
      </w:r>
      <w:r w:rsidDel="00000000" w:rsidR="00000000" w:rsidRPr="00000000">
        <w:rPr>
          <w:rFonts w:ascii="Arial" w:cs="Arial" w:eastAsia="Arial" w:hAnsi="Arial"/>
          <w:rtl w:val="0"/>
        </w:rPr>
        <w:t xml:space="preserve">tendo a previsão de receita e despesas da educação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o exercício de 2025, conforme proposta apresentada </w:t>
      </w:r>
      <w:r w:rsidDel="00000000" w:rsidR="00000000" w:rsidRPr="00000000">
        <w:rPr>
          <w:rFonts w:ascii="Arial" w:cs="Arial" w:eastAsia="Arial" w:hAnsi="Arial"/>
          <w:rtl w:val="0"/>
        </w:rPr>
        <w:t xml:space="preserve">pela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Secretaria Municipal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Educação, Ciência e Tecnologia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proposta foi avaliada pelos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membros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presentes visando atender a legislação vigente, suas metas fiscais, diretrizes específicas e mecanismos de transparência e participação.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proposta apresentada manteve os mesmos valores da proposta de Lei de Diretrizes Orçamentárias (LDO), anteriormente já aprovada por este conselho e atualmente aguardando a aprovação do legislativo.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Diante ao exposto, os conselheiros aprovaram a proposta de manter as mesmas projeções indicadas na LDO para a LOA em exercício 2025.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Içara, 0</w:t>
      </w: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outubro de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6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KELI CRISTINA CAMILO FLORIANO          MARCIA ALBINO RODRIGUES DE SOUZA</w:t>
      </w:r>
    </w:p>
    <w:p w:rsidR="00000000" w:rsidDel="00000000" w:rsidP="00000000" w:rsidRDefault="00000000" w:rsidRPr="00000000" w14:paraId="00000047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SILVIA REGINA ROSSO                             THIMOTY TEREZA PEREIRA</w:t>
      </w:r>
    </w:p>
    <w:p w:rsidR="00000000" w:rsidDel="00000000" w:rsidP="00000000" w:rsidRDefault="00000000" w:rsidRPr="00000000" w14:paraId="0000004B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KÉTULIN DE OLIVEIRA CARDOSO</w:t>
      </w:r>
    </w:p>
    <w:p w:rsidR="00000000" w:rsidDel="00000000" w:rsidP="00000000" w:rsidRDefault="00000000" w:rsidRPr="00000000" w14:paraId="0000004F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tabs>
          <w:tab w:val="left" w:leader="none" w:pos="211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2E2A"/>
    <w:pPr>
      <w:suppressAutoHyphens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A22E2A"/>
    <w:pPr>
      <w:widowControl w:val="1"/>
      <w:suppressAutoHyphens w:val="1"/>
    </w:pPr>
    <w:rPr>
      <w:rFonts w:ascii="Bookman Old Style" w:cs="Bookman Old Style" w:eastAsia="Times New Roman" w:hAnsi="Bookman Old Style"/>
      <w:szCs w:val="24"/>
      <w:lang w:eastAsia="pt-BR"/>
    </w:rPr>
  </w:style>
  <w:style w:type="paragraph" w:styleId="Heading" w:customStyle="1">
    <w:name w:val="Heading"/>
    <w:basedOn w:val="Standard"/>
    <w:next w:val="Textbody"/>
    <w:rsid w:val="00A22E2A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rsid w:val="00A22E2A"/>
    <w:pPr>
      <w:spacing w:after="140" w:line="288" w:lineRule="auto"/>
    </w:pPr>
  </w:style>
  <w:style w:type="paragraph" w:styleId="Lista">
    <w:name w:val="List"/>
    <w:basedOn w:val="Textbody"/>
    <w:rsid w:val="00A22E2A"/>
    <w:rPr>
      <w:rFonts w:cs="Lucida Sans"/>
    </w:rPr>
  </w:style>
  <w:style w:type="paragraph" w:styleId="Legenda">
    <w:name w:val="caption"/>
    <w:basedOn w:val="Standard"/>
    <w:rsid w:val="00A22E2A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x" w:customStyle="1">
    <w:name w:val="Index"/>
    <w:basedOn w:val="Standard"/>
    <w:rsid w:val="00A22E2A"/>
    <w:pPr>
      <w:suppressLineNumbers w:val="1"/>
    </w:pPr>
    <w:rPr>
      <w:rFonts w:cs="Lucida Sans"/>
    </w:rPr>
  </w:style>
  <w:style w:type="paragraph" w:styleId="Cabealho">
    <w:name w:val="header"/>
    <w:basedOn w:val="Standard"/>
    <w:rsid w:val="00A22E2A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rsid w:val="00A22E2A"/>
    <w:pPr>
      <w:tabs>
        <w:tab w:val="center" w:pos="4252"/>
        <w:tab w:val="right" w:pos="8504"/>
      </w:tabs>
    </w:pPr>
  </w:style>
  <w:style w:type="paragraph" w:styleId="TableContents" w:customStyle="1">
    <w:name w:val="Table Contents"/>
    <w:basedOn w:val="Standard"/>
    <w:rsid w:val="00A22E2A"/>
  </w:style>
  <w:style w:type="paragraph" w:styleId="TableHeading" w:customStyle="1">
    <w:name w:val="Table Heading"/>
    <w:basedOn w:val="TableContents"/>
    <w:rsid w:val="00A22E2A"/>
  </w:style>
  <w:style w:type="character" w:styleId="CabealhoChar" w:customStyle="1">
    <w:name w:val="Cabeçalho Char"/>
    <w:basedOn w:val="Fontepargpadro"/>
    <w:rsid w:val="00A22E2A"/>
    <w:rPr>
      <w:rFonts w:ascii="Bookman Old Style" w:cs="Bookman Old Style" w:eastAsia="Times New Roman" w:hAnsi="Bookman Old Style"/>
      <w:sz w:val="24"/>
      <w:szCs w:val="24"/>
      <w:lang w:eastAsia="pt-BR"/>
    </w:rPr>
  </w:style>
  <w:style w:type="character" w:styleId="RodapChar" w:customStyle="1">
    <w:name w:val="Rodapé Char"/>
    <w:basedOn w:val="Fontepargpadro"/>
    <w:rsid w:val="00A22E2A"/>
    <w:rPr>
      <w:rFonts w:ascii="Bookman Old Style" w:cs="Bookman Old Style" w:eastAsia="Times New Roman" w:hAnsi="Bookman Old Style"/>
      <w:sz w:val="24"/>
      <w:szCs w:val="24"/>
      <w:lang w:eastAsia="pt-BR"/>
    </w:rPr>
  </w:style>
  <w:style w:type="character" w:styleId="BulletSymbols" w:customStyle="1">
    <w:name w:val="Bullet Symbols"/>
    <w:rsid w:val="00A22E2A"/>
    <w:rPr>
      <w:rFonts w:ascii="OpenSymbol" w:cs="OpenSymbol" w:eastAsia="OpenSymbol" w:hAnsi="OpenSymbol"/>
    </w:rPr>
  </w:style>
  <w:style w:type="numbering" w:styleId="NoList0" w:customStyle="1">
    <w:name w:val="No List0"/>
    <w:basedOn w:val="Semlista"/>
    <w:rsid w:val="00A22E2A"/>
    <w:pPr>
      <w:numPr>
        <w:numId w:val="1"/>
      </w:numPr>
    </w:pPr>
  </w:style>
  <w:style w:type="paragraph" w:styleId="PargrafodaLista">
    <w:name w:val="List Paragraph"/>
    <w:basedOn w:val="Normal"/>
    <w:uiPriority w:val="34"/>
    <w:qFormat w:val="1"/>
    <w:rsid w:val="00725E49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B65C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B65C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surGysH4Vn2RZ094v91pP9HeUw==">CgMxLjAaHwoBMBIaChgICVIUChJ0YWJsZS4yMGszYjFjZzc3eW84AHIhMWlzanF6VGhRbGFQLXZHcEFzLUg4cElhWHJhblh4bWtv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2024-08-06T14:01:00Z</dcterms:created>
  <dc:creator>Jucelma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